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AI Vendor Due Diligence Checklist</w:t>
      </w:r>
    </w:p>
    <w:p>
      <w:pPr>
        <w:pStyle w:val="Meta"/>
      </w:pPr>
      <w:r>
        <w:t xml:space="preserve">Thirteen questions to work through with any vendor before handing it confidential data. Record the answer and the date next to each one.</w:t>
      </w:r>
    </w:p>
    <w:p>
      <w:pPr>
        <w:pStyle w:val="MetaItalic"/>
      </w:pPr>
      <w:r>
        <w:t xml:space="preserve">Work through them in order. A, B and C are about the vendor. D is about how much control you keep. E is about you.</w:t>
      </w:r>
    </w:p>
    <w:p>
      <w:pPr>
        <w:pStyle w:val="Heading2"/>
      </w:pPr>
      <w:r>
        <w:t xml:space="preserve">A · Legal status and contract</w:t>
      </w:r>
    </w:p>
    <w:p>
      <w:pPr>
        <w:pStyle w:val="QuestionTitle"/>
      </w:pPr>
      <w:r>
        <w:t xml:space="preserve">1. Does the vendor accept processor status under Article 28 of the GDPR, and will it sign a data processing agreement?</w:t>
      </w:r>
    </w:p>
    <w:p>
      <w:pPr>
        <w:pStyle w:val="Meta"/>
      </w:pPr>
      <w:r>
        <w:t xml:space="preserve">Hooks to: GDPR Article 28(3): processing by a processor is governed by a contract setting out the subject matter, duration, nature and purpose of the processing, the type of personal data and the categories of data subjects.</w:t>
      </w:r>
    </w:p>
    <w:p>
      <w:pPr>
        <w:pStyle w:val="MetaItalic"/>
      </w:pPr>
      <w:r>
        <w:t xml:space="preserve">Bad answer: “We don't process personal data.” A client file, a support ticket or an email thread contains it by construction.</w:t>
      </w:r>
    </w:p>
    <w:tbl>
      <w:tblPr>
        <w:tblW w:w="9060" w:type="dxa"/>
        <w:tblBorders>
          <w:top w:val="single" w:sz="6" w:space="0" w:color="8A8A8A"/>
          <w:left w:val="single" w:sz="6" w:space="0" w:color="8A8A8A"/>
          <w:bottom w:val="single" w:sz="6" w:space="0" w:color="8A8A8A"/>
          <w:right w:val="single" w:sz="6" w:space="0" w:color="8A8A8A"/>
          <w:insideH w:val="single" w:sz="6" w:space="0" w:color="8A8A8A"/>
          <w:insideV w:val="single" w:sz="6" w:space="0" w:color="8A8A8A"/>
        </w:tblBorders>
      </w:tblPr>
      <w:tr>
        <w:trPr>
          <w:trHeight w:val="740"/>
        </w:trPr>
        <w:tc>
          <w:tcPr>
            <w:tcW w:w="7260" w:type="dxa"/>
          </w:tcPr>
          <w:p>
            <w:pPr>
              <w:pStyle w:val="Field"/>
            </w:pPr>
            <w:r>
              <w:t xml:space="preserve">Answer</w:t>
            </w:r>
          </w:p>
        </w:tc>
        <w:tc>
          <w:tcPr>
            <w:tcW w:w="1800" w:type="dxa"/>
          </w:tcPr>
          <w:p>
            <w:pPr>
              <w:pStyle w:val="Field"/>
            </w:pPr>
            <w:r>
              <w:t xml:space="preserve">Date</w:t>
            </w:r>
          </w:p>
        </w:tc>
      </w:tr>
    </w:tbl>
    <w:p>
      <w:r>
        <w:t xml:space="preserve"/>
      </w:r>
    </w:p>
    <w:p>
      <w:pPr>
        <w:pStyle w:val="QuestionTitle"/>
      </w:pPr>
      <w:r>
        <w:t xml:space="preserve">2. Is the list of sub-processors published, with prior notice and a right to object before any change?</w:t>
      </w:r>
    </w:p>
    <w:p>
      <w:pPr>
        <w:pStyle w:val="Meta"/>
      </w:pPr>
      <w:r>
        <w:t xml:space="preserve">Hooks to: GDPR Articles 28(2) and 28(3)(d): a processor engages another processor only with authorisation, and must inform the controller of intended changes so that the controller can object.</w:t>
      </w:r>
    </w:p>
    <w:p>
      <w:pPr>
        <w:pStyle w:val="MetaItalic"/>
      </w:pPr>
      <w:r>
        <w:t xml:space="preserve">Bad answer: No list, a list “available on request”, or a list that can change without notice.</w:t>
      </w:r>
    </w:p>
    <w:tbl>
      <w:tblPr>
        <w:tblW w:w="9060" w:type="dxa"/>
        <w:tblBorders>
          <w:top w:val="single" w:sz="6" w:space="0" w:color="8A8A8A"/>
          <w:left w:val="single" w:sz="6" w:space="0" w:color="8A8A8A"/>
          <w:bottom w:val="single" w:sz="6" w:space="0" w:color="8A8A8A"/>
          <w:right w:val="single" w:sz="6" w:space="0" w:color="8A8A8A"/>
          <w:insideH w:val="single" w:sz="6" w:space="0" w:color="8A8A8A"/>
          <w:insideV w:val="single" w:sz="6" w:space="0" w:color="8A8A8A"/>
        </w:tblBorders>
      </w:tblPr>
      <w:tr>
        <w:trPr>
          <w:trHeight w:val="740"/>
        </w:trPr>
        <w:tc>
          <w:tcPr>
            <w:tcW w:w="7260" w:type="dxa"/>
          </w:tcPr>
          <w:p>
            <w:pPr>
              <w:pStyle w:val="Field"/>
            </w:pPr>
            <w:r>
              <w:t xml:space="preserve">Answer</w:t>
            </w:r>
          </w:p>
        </w:tc>
        <w:tc>
          <w:tcPr>
            <w:tcW w:w="1800" w:type="dxa"/>
          </w:tcPr>
          <w:p>
            <w:pPr>
              <w:pStyle w:val="Field"/>
            </w:pPr>
            <w:r>
              <w:t xml:space="preserve">Date</w:t>
            </w:r>
          </w:p>
        </w:tc>
      </w:tr>
    </w:tbl>
    <w:p>
      <w:r>
        <w:t xml:space="preserve"/>
      </w:r>
    </w:p>
    <w:p>
      <w:pPr>
        <w:pStyle w:val="QuestionTitle"/>
      </w:pPr>
      <w:r>
        <w:t xml:space="preserve">3. Does the contract require the vendor to notify you of a breach fast enough for you to meet your own 72-hour deadline?</w:t>
      </w:r>
    </w:p>
    <w:p>
      <w:pPr>
        <w:pStyle w:val="Meta"/>
      </w:pPr>
      <w:r>
        <w:t xml:space="preserve">Hooks to: GDPR Article 33(1): the controller notifies the supervisory authority within 72 hours of becoming aware. Article 33(2): the processor notifies the controller without undue delay. “Without undue delay” is not a number, so put one in the contract.</w:t>
      </w:r>
    </w:p>
    <w:p>
      <w:pPr>
        <w:pStyle w:val="MetaItalic"/>
      </w:pPr>
      <w:r>
        <w:t xml:space="preserve">Bad answer: “Without undue delay” with no hours attached, or notification only once the vendor's own investigation is closed.</w:t>
      </w:r>
    </w:p>
    <w:tbl>
      <w:tblPr>
        <w:tblW w:w="9060" w:type="dxa"/>
        <w:tblBorders>
          <w:top w:val="single" w:sz="6" w:space="0" w:color="8A8A8A"/>
          <w:left w:val="single" w:sz="6" w:space="0" w:color="8A8A8A"/>
          <w:bottom w:val="single" w:sz="6" w:space="0" w:color="8A8A8A"/>
          <w:right w:val="single" w:sz="6" w:space="0" w:color="8A8A8A"/>
          <w:insideH w:val="single" w:sz="6" w:space="0" w:color="8A8A8A"/>
          <w:insideV w:val="single" w:sz="6" w:space="0" w:color="8A8A8A"/>
        </w:tblBorders>
      </w:tblPr>
      <w:tr>
        <w:trPr>
          <w:trHeight w:val="740"/>
        </w:trPr>
        <w:tc>
          <w:tcPr>
            <w:tcW w:w="7260" w:type="dxa"/>
          </w:tcPr>
          <w:p>
            <w:pPr>
              <w:pStyle w:val="Field"/>
            </w:pPr>
            <w:r>
              <w:t xml:space="preserve">Answer</w:t>
            </w:r>
          </w:p>
        </w:tc>
        <w:tc>
          <w:tcPr>
            <w:tcW w:w="1800" w:type="dxa"/>
          </w:tcPr>
          <w:p>
            <w:pPr>
              <w:pStyle w:val="Field"/>
            </w:pPr>
            <w:r>
              <w:t xml:space="preserve">Date</w:t>
            </w:r>
          </w:p>
        </w:tc>
      </w:tr>
    </w:tbl>
    <w:p>
      <w:r>
        <w:t xml:space="preserve"/>
      </w:r>
    </w:p>
    <w:p>
      <w:pPr>
        <w:pStyle w:val="Heading2"/>
      </w:pPr>
      <w:r>
        <w:t xml:space="preserve">B · Location and isolation</w:t>
      </w:r>
    </w:p>
    <w:p>
      <w:pPr>
        <w:pStyle w:val="QuestionTitle"/>
      </w:pPr>
      <w:r>
        <w:t xml:space="preserve">4. Where is the data stored and, as a separate question, where is inference executed?</w:t>
      </w:r>
    </w:p>
    <w:p>
      <w:pPr>
        <w:pStyle w:val="Meta"/>
      </w:pPr>
      <w:r>
        <w:t xml:space="preserve">Hooks to: Two different questions with two different answers. Chapter V of the GDPR bears on the processing, and a model call is processing: EU storage with inference through a non-EU API is a transfer.</w:t>
      </w:r>
    </w:p>
    <w:p>
      <w:pPr>
        <w:pStyle w:val="MetaItalic"/>
      </w:pPr>
      <w:r>
        <w:t xml:space="preserve">Bad answer: One answer covering both, or “our servers are in Europe” with not a word about the model provider.</w:t>
      </w:r>
    </w:p>
    <w:tbl>
      <w:tblPr>
        <w:tblW w:w="9060" w:type="dxa"/>
        <w:tblBorders>
          <w:top w:val="single" w:sz="6" w:space="0" w:color="8A8A8A"/>
          <w:left w:val="single" w:sz="6" w:space="0" w:color="8A8A8A"/>
          <w:bottom w:val="single" w:sz="6" w:space="0" w:color="8A8A8A"/>
          <w:right w:val="single" w:sz="6" w:space="0" w:color="8A8A8A"/>
          <w:insideH w:val="single" w:sz="6" w:space="0" w:color="8A8A8A"/>
          <w:insideV w:val="single" w:sz="6" w:space="0" w:color="8A8A8A"/>
        </w:tblBorders>
      </w:tblPr>
      <w:tr>
        <w:trPr>
          <w:trHeight w:val="740"/>
        </w:trPr>
        <w:tc>
          <w:tcPr>
            <w:tcW w:w="7260" w:type="dxa"/>
          </w:tcPr>
          <w:p>
            <w:pPr>
              <w:pStyle w:val="Field"/>
            </w:pPr>
            <w:r>
              <w:t xml:space="preserve">Answer</w:t>
            </w:r>
          </w:p>
        </w:tc>
        <w:tc>
          <w:tcPr>
            <w:tcW w:w="1800" w:type="dxa"/>
          </w:tcPr>
          <w:p>
            <w:pPr>
              <w:pStyle w:val="Field"/>
            </w:pPr>
            <w:r>
              <w:t xml:space="preserve">Date</w:t>
            </w:r>
          </w:p>
        </w:tc>
      </w:tr>
    </w:tbl>
    <w:p>
      <w:r>
        <w:t xml:space="preserve"/>
      </w:r>
    </w:p>
    <w:p>
      <w:pPr>
        <w:pStyle w:val="QuestionTitle"/>
      </w:pPr>
      <w:r>
        <w:t xml:space="preserve">5. If data leaves the EU, on what legal basis, and are the vendor or its sub-processors subject to extraterritorial legislation?</w:t>
      </w:r>
    </w:p>
    <w:p>
      <w:pPr>
        <w:pStyle w:val="Meta"/>
      </w:pPr>
      <w:r>
        <w:t xml:space="preserve">Hooks to: GDPR Chapter V (Articles 44 to 49): adequacy decision, standard contractual clauses backed by a transfer impact assessment, or a derogation. A vendor subject to the US CLOUD Act can be ordered to produce the data it holds, wherever that data is stored.</w:t>
      </w:r>
    </w:p>
    <w:p>
      <w:pPr>
        <w:pStyle w:val="MetaItalic"/>
      </w:pPr>
      <w:r>
        <w:t xml:space="preserve">Bad answer: “We use the standard contractual clauses” with no transfer impact assessment behind them.</w:t>
      </w:r>
    </w:p>
    <w:tbl>
      <w:tblPr>
        <w:tblW w:w="9060" w:type="dxa"/>
        <w:tblBorders>
          <w:top w:val="single" w:sz="6" w:space="0" w:color="8A8A8A"/>
          <w:left w:val="single" w:sz="6" w:space="0" w:color="8A8A8A"/>
          <w:bottom w:val="single" w:sz="6" w:space="0" w:color="8A8A8A"/>
          <w:right w:val="single" w:sz="6" w:space="0" w:color="8A8A8A"/>
          <w:insideH w:val="single" w:sz="6" w:space="0" w:color="8A8A8A"/>
          <w:insideV w:val="single" w:sz="6" w:space="0" w:color="8A8A8A"/>
        </w:tblBorders>
      </w:tblPr>
      <w:tr>
        <w:trPr>
          <w:trHeight w:val="740"/>
        </w:trPr>
        <w:tc>
          <w:tcPr>
            <w:tcW w:w="7260" w:type="dxa"/>
          </w:tcPr>
          <w:p>
            <w:pPr>
              <w:pStyle w:val="Field"/>
            </w:pPr>
            <w:r>
              <w:t xml:space="preserve">Answer</w:t>
            </w:r>
          </w:p>
        </w:tc>
        <w:tc>
          <w:tcPr>
            <w:tcW w:w="1800" w:type="dxa"/>
          </w:tcPr>
          <w:p>
            <w:pPr>
              <w:pStyle w:val="Field"/>
            </w:pPr>
            <w:r>
              <w:t xml:space="preserve">Date</w:t>
            </w:r>
          </w:p>
        </w:tc>
      </w:tr>
    </w:tbl>
    <w:p>
      <w:r>
        <w:t xml:space="preserve"/>
      </w:r>
    </w:p>
    <w:p>
      <w:pPr>
        <w:pStyle w:val="QuestionTitle"/>
      </w:pPr>
      <w:r>
        <w:t xml:space="preserve">6. In a shared-tenancy architecture, what separates your files from another customer's: an application-level identifier, or infrastructure isolation?</w:t>
      </w:r>
    </w:p>
    <w:p>
      <w:pPr>
        <w:pStyle w:val="Meta"/>
      </w:pPr>
      <w:r>
        <w:t xml:space="preserve">Hooks to: GDPR Article 32 (security of processing) and Article 5(1)(f) (integrity and confidentiality). Ask for the answer in architectural terms, and ask what a misconfigured endpoint would reach.</w:t>
      </w:r>
    </w:p>
    <w:p>
      <w:pPr>
        <w:pStyle w:val="MetaItalic"/>
      </w:pPr>
      <w:r>
        <w:t xml:space="preserve">Bad answer: “Every customer has their own tenant” with no description of what holds the boundary in place.</w:t>
      </w:r>
    </w:p>
    <w:tbl>
      <w:tblPr>
        <w:tblW w:w="9060" w:type="dxa"/>
        <w:tblBorders>
          <w:top w:val="single" w:sz="6" w:space="0" w:color="8A8A8A"/>
          <w:left w:val="single" w:sz="6" w:space="0" w:color="8A8A8A"/>
          <w:bottom w:val="single" w:sz="6" w:space="0" w:color="8A8A8A"/>
          <w:right w:val="single" w:sz="6" w:space="0" w:color="8A8A8A"/>
          <w:insideH w:val="single" w:sz="6" w:space="0" w:color="8A8A8A"/>
          <w:insideV w:val="single" w:sz="6" w:space="0" w:color="8A8A8A"/>
        </w:tblBorders>
      </w:tblPr>
      <w:tr>
        <w:trPr>
          <w:trHeight w:val="740"/>
        </w:trPr>
        <w:tc>
          <w:tcPr>
            <w:tcW w:w="7260" w:type="dxa"/>
          </w:tcPr>
          <w:p>
            <w:pPr>
              <w:pStyle w:val="Field"/>
            </w:pPr>
            <w:r>
              <w:t xml:space="preserve">Answer</w:t>
            </w:r>
          </w:p>
        </w:tc>
        <w:tc>
          <w:tcPr>
            <w:tcW w:w="1800" w:type="dxa"/>
          </w:tcPr>
          <w:p>
            <w:pPr>
              <w:pStyle w:val="Field"/>
            </w:pPr>
            <w:r>
              <w:t xml:space="preserve">Date</w:t>
            </w:r>
          </w:p>
        </w:tc>
      </w:tr>
    </w:tbl>
    <w:p>
      <w:r>
        <w:t xml:space="preserve"/>
      </w:r>
    </w:p>
    <w:p>
      <w:pPr>
        <w:pStyle w:val="Heading2"/>
      </w:pPr>
      <w:r>
        <w:t xml:space="preserve">C · Confidentiality and training</w:t>
      </w:r>
    </w:p>
    <w:p>
      <w:pPr>
        <w:pStyle w:val="QuestionTitle"/>
      </w:pPr>
      <w:r>
        <w:t xml:space="preserve">7. Is your data used to train, fine-tune or evaluate a model, including in aggregated or anonymised form, and is that a contract clause or a policy?</w:t>
      </w:r>
    </w:p>
    <w:p>
      <w:pPr>
        <w:pStyle w:val="Meta"/>
      </w:pPr>
      <w:r>
        <w:t xml:space="preserve">Hooks to: GDPR Article 5(1)(b) (purpose limitation) and Article 28(3)(a): a processor acts only on documented instructions. A privacy policy can be changed unilaterally; a contract clause cannot.</w:t>
      </w:r>
    </w:p>
    <w:p>
      <w:pPr>
        <w:pStyle w:val="MetaItalic"/>
      </w:pPr>
      <w:r>
        <w:t xml:space="preserve">Bad answer: “We don't train on customer data”, written on a policy page rather than in the contract.</w:t>
      </w:r>
    </w:p>
    <w:tbl>
      <w:tblPr>
        <w:tblW w:w="9060" w:type="dxa"/>
        <w:tblBorders>
          <w:top w:val="single" w:sz="6" w:space="0" w:color="8A8A8A"/>
          <w:left w:val="single" w:sz="6" w:space="0" w:color="8A8A8A"/>
          <w:bottom w:val="single" w:sz="6" w:space="0" w:color="8A8A8A"/>
          <w:right w:val="single" w:sz="6" w:space="0" w:color="8A8A8A"/>
          <w:insideH w:val="single" w:sz="6" w:space="0" w:color="8A8A8A"/>
          <w:insideV w:val="single" w:sz="6" w:space="0" w:color="8A8A8A"/>
        </w:tblBorders>
      </w:tblPr>
      <w:tr>
        <w:trPr>
          <w:trHeight w:val="740"/>
        </w:trPr>
        <w:tc>
          <w:tcPr>
            <w:tcW w:w="7260" w:type="dxa"/>
          </w:tcPr>
          <w:p>
            <w:pPr>
              <w:pStyle w:val="Field"/>
            </w:pPr>
            <w:r>
              <w:t xml:space="preserve">Answer</w:t>
            </w:r>
          </w:p>
        </w:tc>
        <w:tc>
          <w:tcPr>
            <w:tcW w:w="1800" w:type="dxa"/>
          </w:tcPr>
          <w:p>
            <w:pPr>
              <w:pStyle w:val="Field"/>
            </w:pPr>
            <w:r>
              <w:t xml:space="preserve">Date</w:t>
            </w:r>
          </w:p>
        </w:tc>
      </w:tr>
    </w:tbl>
    <w:p>
      <w:r>
        <w:t xml:space="preserve"/>
      </w:r>
    </w:p>
    <w:p>
      <w:pPr>
        <w:pStyle w:val="QuestionTitle"/>
      </w:pPr>
      <w:r>
        <w:t xml:space="preserve">8. Who at the vendor can technically open your data, under what control, and which access logs can you consult?</w:t>
      </w:r>
    </w:p>
    <w:p>
      <w:pPr>
        <w:pStyle w:val="Meta"/>
      </w:pPr>
      <w:r>
        <w:t xml:space="preserve">Hooks to: GDPR Article 28(3)(b) (confidentiality commitments), Article 32(4) (anyone acting under the processor's authority processes only on instruction) and Article 32 (being able to demonstrate security). Support, engineering and sub-processors are three different answers.</w:t>
      </w:r>
    </w:p>
    <w:p>
      <w:pPr>
        <w:pStyle w:val="MetaItalic"/>
      </w:pPr>
      <w:r>
        <w:t xml:space="preserve">Bad answer: “Only authorised staff”, with no named procedure and no log you can read.</w:t>
      </w:r>
    </w:p>
    <w:tbl>
      <w:tblPr>
        <w:tblW w:w="9060" w:type="dxa"/>
        <w:tblBorders>
          <w:top w:val="single" w:sz="6" w:space="0" w:color="8A8A8A"/>
          <w:left w:val="single" w:sz="6" w:space="0" w:color="8A8A8A"/>
          <w:bottom w:val="single" w:sz="6" w:space="0" w:color="8A8A8A"/>
          <w:right w:val="single" w:sz="6" w:space="0" w:color="8A8A8A"/>
          <w:insideH w:val="single" w:sz="6" w:space="0" w:color="8A8A8A"/>
          <w:insideV w:val="single" w:sz="6" w:space="0" w:color="8A8A8A"/>
        </w:tblBorders>
      </w:tblPr>
      <w:tr>
        <w:trPr>
          <w:trHeight w:val="740"/>
        </w:trPr>
        <w:tc>
          <w:tcPr>
            <w:tcW w:w="7260" w:type="dxa"/>
          </w:tcPr>
          <w:p>
            <w:pPr>
              <w:pStyle w:val="Field"/>
            </w:pPr>
            <w:r>
              <w:t xml:space="preserve">Answer</w:t>
            </w:r>
          </w:p>
        </w:tc>
        <w:tc>
          <w:tcPr>
            <w:tcW w:w="1800" w:type="dxa"/>
          </w:tcPr>
          <w:p>
            <w:pPr>
              <w:pStyle w:val="Field"/>
            </w:pPr>
            <w:r>
              <w:t xml:space="preserve">Date</w:t>
            </w:r>
          </w:p>
        </w:tc>
      </w:tr>
    </w:tbl>
    <w:p>
      <w:r>
        <w:t xml:space="preserve"/>
      </w:r>
    </w:p>
    <w:p>
      <w:pPr>
        <w:pStyle w:val="QuestionTitle"/>
      </w:pPr>
      <w:r>
        <w:t xml:space="preserve">9. What is the retention period and, at the end of the contract: deletion within what timeframe, with what attestation, and what becomes of backups and of prompt logs?</w:t>
      </w:r>
    </w:p>
    <w:p>
      <w:pPr>
        <w:pStyle w:val="Meta"/>
      </w:pPr>
      <w:r>
        <w:t xml:space="preserve">Hooks to: GDPR Article 5(1)(e) (storage limitation) and Article 28(3)(g) (delete or return the data at the end of the provision of services). Prompt and completion logs are the copy everyone forgets.</w:t>
      </w:r>
    </w:p>
    <w:p>
      <w:pPr>
        <w:pStyle w:val="MetaItalic"/>
      </w:pPr>
      <w:r>
        <w:t xml:space="preserve">Bad answer: Account deletion with not a word about backups, or logs kept “for security purposes” with no limit.</w:t>
      </w:r>
    </w:p>
    <w:tbl>
      <w:tblPr>
        <w:tblW w:w="9060" w:type="dxa"/>
        <w:tblBorders>
          <w:top w:val="single" w:sz="6" w:space="0" w:color="8A8A8A"/>
          <w:left w:val="single" w:sz="6" w:space="0" w:color="8A8A8A"/>
          <w:bottom w:val="single" w:sz="6" w:space="0" w:color="8A8A8A"/>
          <w:right w:val="single" w:sz="6" w:space="0" w:color="8A8A8A"/>
          <w:insideH w:val="single" w:sz="6" w:space="0" w:color="8A8A8A"/>
          <w:insideV w:val="single" w:sz="6" w:space="0" w:color="8A8A8A"/>
        </w:tblBorders>
      </w:tblPr>
      <w:tr>
        <w:trPr>
          <w:trHeight w:val="740"/>
        </w:trPr>
        <w:tc>
          <w:tcPr>
            <w:tcW w:w="7260" w:type="dxa"/>
          </w:tcPr>
          <w:p>
            <w:pPr>
              <w:pStyle w:val="Field"/>
            </w:pPr>
            <w:r>
              <w:t xml:space="preserve">Answer</w:t>
            </w:r>
          </w:p>
        </w:tc>
        <w:tc>
          <w:tcPr>
            <w:tcW w:w="1800" w:type="dxa"/>
          </w:tcPr>
          <w:p>
            <w:pPr>
              <w:pStyle w:val="Field"/>
            </w:pPr>
            <w:r>
              <w:t xml:space="preserve">Date</w:t>
            </w:r>
          </w:p>
        </w:tc>
      </w:tr>
    </w:tbl>
    <w:p>
      <w:r>
        <w:t xml:space="preserve"/>
      </w:r>
    </w:p>
    <w:p>
      <w:pPr>
        <w:pStyle w:val="Heading2"/>
      </w:pPr>
      <w:r>
        <w:t xml:space="preserve">D · Control and reversibility</w:t>
      </w:r>
    </w:p>
    <w:p>
      <w:pPr>
        <w:pStyle w:val="QuestionTitle"/>
      </w:pPr>
      <w:r>
        <w:t xml:space="preserve">10. Can you retrieve all your data and documents in a usable format, without the vendor's help, and within what contractual timeframe?</w:t>
      </w:r>
    </w:p>
    <w:p>
      <w:pPr>
        <w:pStyle w:val="Meta"/>
      </w:pPr>
      <w:r>
        <w:t xml:space="preserve">Hooks to: Data Act (Regulation (EU) 2023/2854), Chapter VI, applicable since 12 September 2025: switching between data processing services, with a maximum transition period and an export in a structured, commonly used, machine-readable format. Switching charges, including data egress fees, are prohibited from 12 January 2027.</w:t>
      </w:r>
    </w:p>
    <w:p>
      <w:pPr>
        <w:pStyle w:val="MetaItalic"/>
      </w:pPr>
      <w:r>
        <w:t xml:space="preserve">Bad answer: An export delivered as a bundle of PDFs, or one that goes through a support ticket and an unspecified delay.</w:t>
      </w:r>
    </w:p>
    <w:tbl>
      <w:tblPr>
        <w:tblW w:w="9060" w:type="dxa"/>
        <w:tblBorders>
          <w:top w:val="single" w:sz="6" w:space="0" w:color="8A8A8A"/>
          <w:left w:val="single" w:sz="6" w:space="0" w:color="8A8A8A"/>
          <w:bottom w:val="single" w:sz="6" w:space="0" w:color="8A8A8A"/>
          <w:right w:val="single" w:sz="6" w:space="0" w:color="8A8A8A"/>
          <w:insideH w:val="single" w:sz="6" w:space="0" w:color="8A8A8A"/>
          <w:insideV w:val="single" w:sz="6" w:space="0" w:color="8A8A8A"/>
        </w:tblBorders>
      </w:tblPr>
      <w:tr>
        <w:trPr>
          <w:trHeight w:val="740"/>
        </w:trPr>
        <w:tc>
          <w:tcPr>
            <w:tcW w:w="7260" w:type="dxa"/>
          </w:tcPr>
          <w:p>
            <w:pPr>
              <w:pStyle w:val="Field"/>
            </w:pPr>
            <w:r>
              <w:t xml:space="preserve">Answer</w:t>
            </w:r>
          </w:p>
        </w:tc>
        <w:tc>
          <w:tcPr>
            <w:tcW w:w="1800" w:type="dxa"/>
          </w:tcPr>
          <w:p>
            <w:pPr>
              <w:pStyle w:val="Field"/>
            </w:pPr>
            <w:r>
              <w:t xml:space="preserve">Date</w:t>
            </w:r>
          </w:p>
        </w:tc>
      </w:tr>
    </w:tbl>
    <w:p>
      <w:r>
        <w:t xml:space="preserve"/>
      </w:r>
    </w:p>
    <w:p>
      <w:pPr>
        <w:pStyle w:val="QuestionTitle"/>
      </w:pPr>
      <w:r>
        <w:t xml:space="preserve">11. Does the vendor document the system's limits and the cases requiring human verification, in a form you can hold it to?</w:t>
      </w:r>
    </w:p>
    <w:p>
      <w:pPr>
        <w:pStyle w:val="Meta"/>
      </w:pPr>
      <w:r>
        <w:t xml:space="preserve">Hooks to: Articles 13 and 14 of the AI Act (instructions for use, human oversight) bind providers of high-risk systems. Since the AI Omnibus, those obligations apply from 2 December 2027 for Annex III systems. Ask now: that documentation takes longer to produce than the contract takes to sign.</w:t>
      </w:r>
    </w:p>
    <w:p>
      <w:pPr>
        <w:pStyle w:val="MetaItalic"/>
      </w:pPr>
      <w:r>
        <w:t xml:space="preserve">Bad answer: Accuracy figures with no test set described, or “the system is 99% accurate” without naming a single class of error.</w:t>
      </w:r>
    </w:p>
    <w:tbl>
      <w:tblPr>
        <w:tblW w:w="9060" w:type="dxa"/>
        <w:tblBorders>
          <w:top w:val="single" w:sz="6" w:space="0" w:color="8A8A8A"/>
          <w:left w:val="single" w:sz="6" w:space="0" w:color="8A8A8A"/>
          <w:bottom w:val="single" w:sz="6" w:space="0" w:color="8A8A8A"/>
          <w:right w:val="single" w:sz="6" w:space="0" w:color="8A8A8A"/>
          <w:insideH w:val="single" w:sz="6" w:space="0" w:color="8A8A8A"/>
          <w:insideV w:val="single" w:sz="6" w:space="0" w:color="8A8A8A"/>
        </w:tblBorders>
      </w:tblPr>
      <w:tr>
        <w:trPr>
          <w:trHeight w:val="740"/>
        </w:trPr>
        <w:tc>
          <w:tcPr>
            <w:tcW w:w="7260" w:type="dxa"/>
          </w:tcPr>
          <w:p>
            <w:pPr>
              <w:pStyle w:val="Field"/>
            </w:pPr>
            <w:r>
              <w:t xml:space="preserve">Answer</w:t>
            </w:r>
          </w:p>
        </w:tc>
        <w:tc>
          <w:tcPr>
            <w:tcW w:w="1800" w:type="dxa"/>
          </w:tcPr>
          <w:p>
            <w:pPr>
              <w:pStyle w:val="Field"/>
            </w:pPr>
            <w:r>
              <w:t xml:space="preserve">Date</w:t>
            </w:r>
          </w:p>
        </w:tc>
      </w:tr>
    </w:tbl>
    <w:p>
      <w:r>
        <w:t xml:space="preserve"/>
      </w:r>
    </w:p>
    <w:p>
      <w:pPr>
        <w:pStyle w:val="QuestionTitle"/>
      </w:pPr>
      <w:r>
        <w:t xml:space="preserve">12. Can the system be deployed on your own infrastructure and, if not, for what technical reason?</w:t>
      </w:r>
    </w:p>
    <w:p>
      <w:pPr>
        <w:pStyle w:val="Meta"/>
      </w:pPr>
      <w:r>
        <w:t xml:space="preserve">Hooks to: No regulation requires it. The answer tells you what the architecture actually is, and it is the only question on this list whose answer removes questions 4, 5, 6 and 8 instead of documenting them.</w:t>
      </w:r>
    </w:p>
    <w:p>
      <w:pPr>
        <w:pStyle w:val="MetaItalic"/>
      </w:pPr>
      <w:r>
        <w:t xml:space="preserve">Bad answer: “That's not how our product works”, with no technical reason behind it.</w:t>
      </w:r>
    </w:p>
    <w:tbl>
      <w:tblPr>
        <w:tblW w:w="9060" w:type="dxa"/>
        <w:tblBorders>
          <w:top w:val="single" w:sz="6" w:space="0" w:color="8A8A8A"/>
          <w:left w:val="single" w:sz="6" w:space="0" w:color="8A8A8A"/>
          <w:bottom w:val="single" w:sz="6" w:space="0" w:color="8A8A8A"/>
          <w:right w:val="single" w:sz="6" w:space="0" w:color="8A8A8A"/>
          <w:insideH w:val="single" w:sz="6" w:space="0" w:color="8A8A8A"/>
          <w:insideV w:val="single" w:sz="6" w:space="0" w:color="8A8A8A"/>
        </w:tblBorders>
      </w:tblPr>
      <w:tr>
        <w:trPr>
          <w:trHeight w:val="740"/>
        </w:trPr>
        <w:tc>
          <w:tcPr>
            <w:tcW w:w="7260" w:type="dxa"/>
          </w:tcPr>
          <w:p>
            <w:pPr>
              <w:pStyle w:val="Field"/>
            </w:pPr>
            <w:r>
              <w:t xml:space="preserve">Answer</w:t>
            </w:r>
          </w:p>
        </w:tc>
        <w:tc>
          <w:tcPr>
            <w:tcW w:w="1800" w:type="dxa"/>
          </w:tcPr>
          <w:p>
            <w:pPr>
              <w:pStyle w:val="Field"/>
            </w:pPr>
            <w:r>
              <w:t xml:space="preserve">Date</w:t>
            </w:r>
          </w:p>
        </w:tc>
      </w:tr>
    </w:tbl>
    <w:p>
      <w:r>
        <w:t xml:space="preserve"/>
      </w:r>
    </w:p>
    <w:p>
      <w:pPr>
        <w:pStyle w:val="Heading2"/>
      </w:pPr>
      <w:r>
        <w:t xml:space="preserve">E · Your own obligation</w:t>
      </w:r>
    </w:p>
    <w:p>
      <w:pPr>
        <w:pStyle w:val="QuestionTitle"/>
      </w:pPr>
      <w:r>
        <w:t xml:space="preserve">13. Which of the Article 50 transparency obligations does your contract place on you, and are you meeting them?</w:t>
      </w:r>
    </w:p>
    <w:p>
      <w:pPr>
        <w:pStyle w:val="Meta"/>
      </w:pPr>
      <w:r>
        <w:t xml:space="preserve">Hooks to: Article 50 of the AI Act, applicable since 2 August 2026. The provider must ensure that people know they are interacting with an AI system (50(1)) and mark synthetic content in a machine-readable format (50(2)); generative systems already on the market before 2 August 2026 have until 2 December 2026 for that marking. As the deployer, you carry 50(3) (emotion recognition and biometric categorisation) and 50(4) (disclosing deepfakes, and labelling AI-generated text published to inform the public on matters of public interest without human review).</w:t>
      </w:r>
    </w:p>
    <w:p>
      <w:pPr>
        <w:pStyle w:val="MetaItalic"/>
      </w:pPr>
      <w:r>
        <w:t xml:space="preserve">Bad answer: A contract that says nothing, which does not move the deployer's obligations off you.</w:t>
      </w:r>
    </w:p>
    <w:tbl>
      <w:tblPr>
        <w:tblW w:w="9060" w:type="dxa"/>
        <w:tblBorders>
          <w:top w:val="single" w:sz="6" w:space="0" w:color="8A8A8A"/>
          <w:left w:val="single" w:sz="6" w:space="0" w:color="8A8A8A"/>
          <w:bottom w:val="single" w:sz="6" w:space="0" w:color="8A8A8A"/>
          <w:right w:val="single" w:sz="6" w:space="0" w:color="8A8A8A"/>
          <w:insideH w:val="single" w:sz="6" w:space="0" w:color="8A8A8A"/>
          <w:insideV w:val="single" w:sz="6" w:space="0" w:color="8A8A8A"/>
        </w:tblBorders>
      </w:tblPr>
      <w:tr>
        <w:trPr>
          <w:trHeight w:val="740"/>
        </w:trPr>
        <w:tc>
          <w:tcPr>
            <w:tcW w:w="7260" w:type="dxa"/>
          </w:tcPr>
          <w:p>
            <w:pPr>
              <w:pStyle w:val="Field"/>
            </w:pPr>
            <w:r>
              <w:t xml:space="preserve">Answer</w:t>
            </w:r>
          </w:p>
        </w:tc>
        <w:tc>
          <w:tcPr>
            <w:tcW w:w="1800" w:type="dxa"/>
          </w:tcPr>
          <w:p>
            <w:pPr>
              <w:pStyle w:val="Field"/>
            </w:pPr>
            <w:r>
              <w:t xml:space="preserve">Date</w:t>
            </w:r>
          </w:p>
        </w:tc>
      </w:tr>
    </w:tbl>
    <w:p>
      <w:r>
        <w:t xml:space="preserve"/>
      </w:r>
    </w:p>
    <w:p>
      <w:pPr>
        <w:pStyle w:val="Meta"/>
      </w:pPr>
      <w:r>
        <w:t xml:space="preserve">A procurement checklist, not legal advice. Obligations cited: GDPR (Regulation (EU) 2016/679), AI Act (Regulation (EU) 2024/1689, amended by Regulation (EU) 2026/1744), Data Act (Regulation (EU) 2023/2854). Verified 30 August 2026. Helmo Solutions · helmo-solutions.com</w:t>
      </w:r>
    </w:p>
    <w:sectPr>
      <w:pgSz w:w="11906" w:h="16838"/>
      <w:pgMar w:top="1021" w:right="907" w:bottom="907" w:left="907" w:header="0" w:footer="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0"/>
      </w:rPr>
    </w:rPrDefault>
  </w:docDefaults>
  <w:style w:type="paragraph" w:styleId="Title">
    <w:name w:val="Title"/>
    <w:rPr>
      <w:b/>
      <w:sz w:val="38"/>
    </w:rPr>
  </w:style>
  <w:style w:type="paragraph" w:styleId="Heading2">
    <w:name w:val="heading 2"/>
    <w:pPr>
      <w:outlineLvl w:val="1"/>
      <w:spacing w:before="320" w:after="120"/>
    </w:pPr>
    <w:rPr>
      <w:b/>
      <w:caps/>
      <w:sz w:val="22"/>
    </w:rPr>
  </w:style>
  <w:style w:type="paragraph" w:styleId="QuestionTitle">
    <w:name w:val="Question Title"/>
    <w:pPr>
      <w:spacing w:before="200" w:after="60"/>
      <w:keepNext/>
    </w:pPr>
    <w:rPr>
      <w:b/>
      <w:sz w:val="21"/>
    </w:rPr>
  </w:style>
  <w:style w:type="paragraph" w:styleId="Meta">
    <w:name w:val="Meta"/>
    <w:pPr>
      <w:spacing w:after="60"/>
    </w:pPr>
    <w:rPr>
      <w:sz w:val="17"/>
      <w:color w:val="3D3D3D"/>
    </w:rPr>
  </w:style>
  <w:style w:type="paragraph" w:styleId="MetaItalic">
    <w:name w:val="Meta Italic"/>
    <w:pPr>
      <w:spacing w:after="60"/>
    </w:pPr>
    <w:rPr>
      <w:i/>
      <w:sz w:val="17"/>
      <w:color w:val="3D3D3D"/>
    </w:rPr>
  </w:style>
  <w:style w:type="paragraph" w:styleId="Field">
    <w:name w:val="Field"/>
    <w:rPr>
      <w:sz w:val="15"/>
      <w:color w:val="8A8A8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>
  <dc:title>AI Vendor Due Diligence Checklist</dc:title>
  <dc:language>en-GB</dc:language>
  <cp:lastModifiedBy>Helmo Solutions</cp:lastModifiedBy>
</cp:coreProperties>
</file>